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6" w:rsidRPr="00BF518F" w:rsidRDefault="00870696" w:rsidP="00852A50">
      <w:pPr>
        <w:jc w:val="center"/>
        <w:rPr>
          <w:rFonts w:ascii="Times New Roman" w:hAnsi="Times New Roman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66.95pt;margin-top:1.05pt;width:111.75pt;height:112.5pt;z-index:251658240;visibility:visible">
            <v:imagedata r:id="rId7" o:title=""/>
          </v:shape>
        </w:pict>
      </w:r>
    </w:p>
    <w:p w:rsidR="00870696" w:rsidRPr="00BF518F" w:rsidRDefault="00870696">
      <w:pPr>
        <w:rPr>
          <w:rFonts w:ascii="Times New Roman" w:hAnsi="Times New Roman"/>
          <w:sz w:val="28"/>
          <w:szCs w:val="28"/>
          <w:lang w:val="en-US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  <w:lang w:val="en-US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  <w:lang w:val="en-US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  <w:lang w:val="en-US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  <w:lang w:val="en-US"/>
        </w:rPr>
      </w:pPr>
    </w:p>
    <w:p w:rsidR="00870696" w:rsidRPr="00BF518F" w:rsidRDefault="00870696">
      <w:pPr>
        <w:rPr>
          <w:rFonts w:ascii="Times New Roman" w:hAnsi="Times New Roman"/>
          <w:b/>
          <w:sz w:val="32"/>
          <w:szCs w:val="32"/>
        </w:rPr>
      </w:pPr>
      <w:r w:rsidRPr="00BF518F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BF518F">
        <w:rPr>
          <w:rFonts w:ascii="Times New Roman" w:hAnsi="Times New Roman"/>
          <w:b/>
          <w:sz w:val="32"/>
          <w:szCs w:val="32"/>
          <w:lang w:val="en-US"/>
        </w:rPr>
        <w:t>ILAC</w:t>
      </w:r>
      <w:r w:rsidRPr="00BF518F">
        <w:rPr>
          <w:rFonts w:ascii="Times New Roman" w:hAnsi="Times New Roman"/>
          <w:b/>
          <w:sz w:val="32"/>
          <w:szCs w:val="32"/>
        </w:rPr>
        <w:t xml:space="preserve">  Договоренность о взаимном признании:</w:t>
      </w:r>
    </w:p>
    <w:p w:rsidR="00870696" w:rsidRPr="00BF518F" w:rsidRDefault="00870696">
      <w:pPr>
        <w:rPr>
          <w:rFonts w:ascii="Times New Roman" w:hAnsi="Times New Roman"/>
          <w:b/>
          <w:sz w:val="32"/>
          <w:szCs w:val="32"/>
        </w:rPr>
      </w:pPr>
      <w:r w:rsidRPr="00BF518F">
        <w:rPr>
          <w:rFonts w:ascii="Times New Roman" w:hAnsi="Times New Roman"/>
          <w:b/>
          <w:sz w:val="32"/>
          <w:szCs w:val="32"/>
        </w:rPr>
        <w:t xml:space="preserve">                            Область применения и обязательства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-</w:t>
      </w:r>
      <w:r w:rsidRPr="00BF518F">
        <w:rPr>
          <w:rFonts w:ascii="Times New Roman" w:hAnsi="Times New Roman"/>
          <w:sz w:val="28"/>
          <w:szCs w:val="28"/>
          <w:lang w:val="en-US"/>
        </w:rPr>
        <w:t>P</w:t>
      </w:r>
      <w:r w:rsidRPr="00BF518F">
        <w:rPr>
          <w:rFonts w:ascii="Times New Roman" w:hAnsi="Times New Roman"/>
          <w:sz w:val="28"/>
          <w:szCs w:val="28"/>
        </w:rPr>
        <w:t>5:02/2016</w:t>
      </w: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b/>
          <w:sz w:val="28"/>
          <w:szCs w:val="28"/>
        </w:rPr>
        <w:t xml:space="preserve"> – Международное Сотрудничество по Аккредитации Лабораторий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– это международная организация по аккредитации лабораторий и органов инспекционного контроля, участниками  которой  являются органы по аккредитации и другие заинтересованные организации разных стран. 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представляет собой инфраструктуру, позволяющую испытательным (в том числе медицинским) и калибровочным лабораториям, органам инспекционного контроля и другим организациям, обслуживающим или обеспечивающим работу лабораторий или органов инспекционного контроля  по всему миру демонстрировать  посредством аккредитации собственную  компетентность и эквивалентность. Аккредитация лабораторий и органов инспекционного контроля способствует развитию экономических отношений,  как в рамках  отдельных экономик, так и на межгосударственном  уровне, в том числе в области торговли,  здравоохранения, безопасности и охраны окружающей среды.  Основной целью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является обеспечение признания компетентности органов,  осуществляющих  данные  виды  деятельности.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В рамках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действует международное многостороннее соглашение (Договоренность) органов по аккредитации о взаимном признании. Участвующие в Договоренности органы по аккредитации договорились всемерно содействовать обеспечению эквивалентности калибровок, протоколов испытаний и измерений, проводимых аккредитованными ими структурами. Для участия в Договоренности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орган по аккредитации  проходит  процедуру экспертной оценки, проводимой  в соответствии с правилами и требованиями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 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высоко оценивает как конструктивную критику, так и поддержку, оказываемую региональными организациями – членами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в том числе в реализации планов, разработке стратегии , решении стоящих перед организацией задач. Договоренности  о взаимном признании позволяют участникам Региональных  организаций – членов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размещать информацию о проведении экспертных оценок и о своих технических возможностях в документы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</w:t>
      </w:r>
    </w:p>
    <w:p w:rsidR="00870696" w:rsidRPr="00BF518F" w:rsidRDefault="00870696" w:rsidP="006534D7">
      <w:pPr>
        <w:jc w:val="both"/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 xml:space="preserve">Копирайт </w:t>
      </w:r>
      <w:r w:rsidRPr="00BF518F">
        <w:rPr>
          <w:rFonts w:ascii="Times New Roman" w:hAnsi="Times New Roman"/>
          <w:b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b/>
          <w:sz w:val="28"/>
          <w:szCs w:val="28"/>
        </w:rPr>
        <w:t xml:space="preserve"> 2016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поощряет санкционированное воспроизведение своих публикаций, или их частей, с целью использования в таких областях, как образование, стандартизация, аккредитация и других,  соответствующих сфере деятельности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 Документ, включающий воспроизводимые  материалы, должен содержать соответствующую ссылку на публикацию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Организации, намеревающиеся получить разрешение на воспроизведение  публикаций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должны направить письменный запрос Председателю или в секретариат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, в том числе по электронной почте. Запрос должен содержать следующую подробную информацию:</w:t>
      </w:r>
    </w:p>
    <w:p w:rsidR="00870696" w:rsidRPr="00BF518F" w:rsidRDefault="00870696" w:rsidP="006534D7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Название воспроизводимой публикации или ее части</w:t>
      </w:r>
    </w:p>
    <w:p w:rsidR="00870696" w:rsidRPr="00BF518F" w:rsidRDefault="00870696" w:rsidP="006534D7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В каком издании и с какой целью воспроизводится материал</w:t>
      </w:r>
    </w:p>
    <w:p w:rsidR="00870696" w:rsidRPr="00BF518F" w:rsidRDefault="00870696" w:rsidP="006534D7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Предполагается ли коммерческое распространение издания, содержащего воспроизводимые материалы, где и в каких количествах.</w:t>
      </w:r>
    </w:p>
    <w:p w:rsidR="00870696" w:rsidRPr="00BF518F" w:rsidRDefault="00870696" w:rsidP="006534D7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Дополнительные данные, которые могут повлиять на решение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о предоставлении разрешения на воспроизведение материалов.                                  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Предоставленное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разрешение на воспроизведение материалов распространяется только на  указанные в запросе цели. О любом изменении  области применения  воспроизводимых  материалов необходимо заранее проинформировать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в письменной форме для получения соответствующего  разрешения.  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оставляет за собой право отказать без объяснения причин  в разрешении на воспроизведение своих материалов.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не несет ответственности за использование его материалов в других публикациях. 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Любое нарушение условий предоставления разрешения на воспроизведение  или несанкционированное воспроизведение материалов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не допускается и может привести к предусмотренным законом последствиям.</w:t>
      </w:r>
    </w:p>
    <w:p w:rsidR="00870696" w:rsidRPr="00BF518F" w:rsidRDefault="00870696" w:rsidP="006534D7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За получением  разрешения на воспроизведение материалов и по другим вопросам следует обращаться: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  <w:lang w:val="en-US"/>
        </w:rPr>
      </w:pPr>
      <w:r w:rsidRPr="00BF518F">
        <w:rPr>
          <w:rFonts w:ascii="Times New Roman" w:hAnsi="Times New Roman"/>
          <w:b/>
          <w:sz w:val="28"/>
          <w:szCs w:val="28"/>
          <w:lang w:val="en-US"/>
        </w:rPr>
        <w:t>The ILAC Secretariat</w:t>
      </w:r>
      <w:r w:rsidRPr="00BF518F">
        <w:rPr>
          <w:rFonts w:ascii="Times New Roman" w:hAnsi="Times New Roman"/>
          <w:sz w:val="28"/>
          <w:szCs w:val="28"/>
          <w:lang w:val="en-US"/>
        </w:rPr>
        <w:t xml:space="preserve">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F518F">
                <w:rPr>
                  <w:rFonts w:ascii="Times New Roman" w:hAnsi="Times New Roman"/>
                  <w:sz w:val="28"/>
                  <w:szCs w:val="28"/>
                  <w:lang w:val="en-US"/>
                </w:rPr>
                <w:t>PO Box</w:t>
              </w:r>
            </w:smartTag>
          </w:smartTag>
          <w:r w:rsidRPr="00BF518F">
            <w:rPr>
              <w:rFonts w:ascii="Times New Roman" w:hAnsi="Times New Roman"/>
              <w:sz w:val="28"/>
              <w:szCs w:val="28"/>
              <w:lang w:val="en-US"/>
            </w:rPr>
            <w:t xml:space="preserve"> 7507</w:t>
          </w:r>
        </w:smartTag>
      </w:smartTag>
      <w:r w:rsidRPr="00BF518F">
        <w:rPr>
          <w:rFonts w:ascii="Times New Roman" w:hAnsi="Times New Roman"/>
          <w:sz w:val="28"/>
          <w:szCs w:val="28"/>
          <w:lang w:val="en-US"/>
        </w:rPr>
        <w:t xml:space="preserve">, Silverwater NSW 2128, </w:t>
      </w:r>
      <w:smartTag w:uri="urn:schemas-microsoft-com:office:smarttags" w:element="country-region">
        <w:smartTag w:uri="urn:schemas-microsoft-com:office:smarttags" w:element="place">
          <w:r w:rsidRPr="00BF518F">
            <w:rPr>
              <w:rFonts w:ascii="Times New Roman" w:hAnsi="Times New Roman"/>
              <w:sz w:val="28"/>
              <w:szCs w:val="28"/>
              <w:lang w:val="en-US"/>
            </w:rPr>
            <w:t>Australia</w:t>
          </w:r>
        </w:smartTag>
      </w:smartTag>
      <w:r w:rsidRPr="00BF518F">
        <w:rPr>
          <w:rFonts w:ascii="Times New Roman" w:hAnsi="Times New Roman"/>
          <w:sz w:val="28"/>
          <w:szCs w:val="28"/>
          <w:lang w:val="en-US"/>
        </w:rPr>
        <w:t xml:space="preserve">                               Phone: +61 2 9736 8374, Email: ilac@nata. com.au 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  <w:lang w:val="en-US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br w:type="page"/>
      </w:r>
    </w:p>
    <w:p w:rsidR="00870696" w:rsidRPr="00BF518F" w:rsidRDefault="00870696" w:rsidP="00BF518F">
      <w:pPr>
        <w:jc w:val="center"/>
        <w:rPr>
          <w:rFonts w:ascii="Times New Roman" w:hAnsi="Times New Roman"/>
          <w:b/>
          <w:sz w:val="32"/>
          <w:szCs w:val="28"/>
        </w:rPr>
      </w:pPr>
      <w:r w:rsidRPr="00BF518F">
        <w:rPr>
          <w:rFonts w:ascii="Times New Roman" w:hAnsi="Times New Roman"/>
          <w:b/>
          <w:sz w:val="32"/>
          <w:szCs w:val="28"/>
        </w:rPr>
        <w:t>Содержание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Преамбула</w:t>
      </w:r>
      <w:r w:rsidRPr="00EE71A2">
        <w:rPr>
          <w:rFonts w:ascii="Times New Roman" w:hAnsi="Times New Roman"/>
          <w:sz w:val="28"/>
          <w:szCs w:val="28"/>
        </w:rPr>
        <w:t xml:space="preserve"> 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Цели</w:t>
      </w:r>
      <w:r w:rsidRPr="00EE71A2">
        <w:rPr>
          <w:rFonts w:ascii="Times New Roman" w:hAnsi="Times New Roman"/>
          <w:sz w:val="28"/>
          <w:szCs w:val="28"/>
        </w:rPr>
        <w:t xml:space="preserve"> 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Авторство</w:t>
      </w:r>
      <w:r w:rsidRPr="00EE71A2">
        <w:rPr>
          <w:rFonts w:ascii="Times New Roman" w:hAnsi="Times New Roman"/>
          <w:sz w:val="28"/>
          <w:szCs w:val="28"/>
        </w:rPr>
        <w:t xml:space="preserve"> 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Договоренность о Взаимном Признании: Область применения и обязательства</w:t>
      </w:r>
      <w:r w:rsidRPr="00EB1B06">
        <w:rPr>
          <w:rFonts w:ascii="Times New Roman" w:hAnsi="Times New Roman"/>
          <w:sz w:val="28"/>
          <w:szCs w:val="28"/>
        </w:rPr>
        <w:t xml:space="preserve"> </w:t>
      </w:r>
    </w:p>
    <w:p w:rsidR="00870696" w:rsidRPr="00EB1B06" w:rsidRDefault="00870696" w:rsidP="00B1176B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Приложение  А</w:t>
      </w:r>
      <w:r w:rsidRPr="00EB1B06">
        <w:rPr>
          <w:rFonts w:ascii="Times New Roman" w:hAnsi="Times New Roman"/>
          <w:sz w:val="28"/>
          <w:szCs w:val="28"/>
        </w:rPr>
        <w:t xml:space="preserve"> 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Приложение В </w:t>
      </w: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B1176B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 xml:space="preserve">Преамбула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определяет условия  сотрудничества органов по аккредитации, аккредитующих калибровочные и испытательные лаборатории, органы инспекционного контроля, органы по оценке компетентности, изготовителей стандартных образцов.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Настоящий документ разъясняет положения Договоренности о Взаимном Признании (в дальнейшем Договоренность), касающиеся аккредитации испытательных и калибровочных лабораторий, органов инспекционного контроля и органов по оценке компетентности. Участники Договоренности признают, применительно к испытаниям, калибровке, инспекционному контролю и оценке компетентности, свидетельства об аккредитации, выдаваемые другими участниками  Договоренности в рамках их областей признания. Лист участников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, подписавших Договоренность, приведен в Приложении А.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Настоящая  Договоренность является важным инструментом формирования  глобальной зоны свободной торговли. В настоящее время деятельность органов по аккредитации регламентируется стандартом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17011,  нормативными 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, а также,  в отдельных случаях,   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серии А. В свою очередь деятельность аккредитованных организаций  регламентируется стандартами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17025,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15189,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17020 и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17043, а также другими стандартами по оценке соответствия, применимыми,  с точки зрения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для целей аккредитации. Полный перечень используемых стандартов приведен в Приложении В.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Примечание: Вследствие  пересмотра документов, в частности документа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</w:t>
      </w:r>
      <w:r w:rsidRPr="00BF518F">
        <w:rPr>
          <w:rFonts w:ascii="Times New Roman" w:hAnsi="Times New Roman"/>
          <w:sz w:val="28"/>
          <w:szCs w:val="28"/>
          <w:lang w:val="en-US"/>
        </w:rPr>
        <w:t>P</w:t>
      </w:r>
      <w:r w:rsidRPr="00BF518F">
        <w:rPr>
          <w:rFonts w:ascii="Times New Roman" w:hAnsi="Times New Roman"/>
          <w:sz w:val="28"/>
          <w:szCs w:val="28"/>
        </w:rPr>
        <w:t xml:space="preserve"> 4, Генеральная Ассамблея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должна принять резолюцию относительно аккредитации изготовителей стандартных образцов. После принятия  резолюции потребуется соответствующее изменение настоящего документа, предусматривающее  возможность проведения аккредитации изготовителей стандартных образцов до рассмотрения их заявок на  участие,  и  соответствующее расширение Договоренности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за счет изготовителей стандартных образцов.   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Ниже приведены базовые элементы формирования  доверия  между органами по аккредитации в рамках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 Данные элементы призваны     обеспечивать  соответствие требованиям стандартов, прошедших экспертную оценку, что необходимо для взаимного  доверия к результатам оценки технической компетентности участников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и аккредитованных ими организаций.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Обмен информацией относительно разработки и реализации  планов по аккредитации членов и ассоциированных членов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,  а также других аффилированных  организаций.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Участие в работе, в том числе подготовке решений, принимаемых Генеральной Ассамблеей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технических комитетов и в случае  необходимости региональных организаций. 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Участие аккредитованных лабораторий, в отдельных случаях органов по оценке компетентности и органов инспекционного контроля в программах  межлабораторных сличений и оценки компетентности  как внутри страны, так и на международном уровне;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Примечание: Оценка компетентности проводится в рамках инспекционного контроля (там, где это возможно и оправдано). С этой целью проводятся измерения, результаты которых могут определяющим образом повлиять на результат  инспекционного контроля, или измерения, предусмотренные законодательством  или регулирующим органом. Вместе с тем  оценка компетентности не является обычным или обязательным элементом процедуры аккредитации для большинства типов органов инспекционного контроля. 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Участие совместно с другими исследовательскими  и техническими организациями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в программах  испытаний, калибровок, инспекционного контроля и оценки компетентности в разных технических областях. 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Проведение оценки кандидатов и повторной оценки  участников настоящей Договоренности на соответствие требованиям документов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совместных документов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и документов региональных организаций. 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Подготовка заключений по проводимой  органами по аккредитации, аккредитованными кандидатами или участниками настоящей Договоренности, оценки,  в ходе которой орган по аккредитации принимает  решение о соответствии заказчика  требованиям стандартов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17025,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15189,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17020 или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17043, а также других, применимых, с точки зрения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стандартов по оценке соответствия органов по аккредитации. </w:t>
      </w:r>
    </w:p>
    <w:p w:rsidR="00870696" w:rsidRPr="00BF518F" w:rsidRDefault="00870696" w:rsidP="00A247B0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Доверие к метрологическим  институтам, подтверждающим декларируемую лабораториями, органами по оценке компетентности и в отдельных случаях органами инспекционного контроля, аккредитованными участниками настоящей Договоренности, прослеживаемость, а также поддержка деятельности </w:t>
      </w:r>
      <w:r w:rsidRPr="00BF518F">
        <w:rPr>
          <w:rFonts w:ascii="Times New Roman" w:hAnsi="Times New Roman"/>
          <w:sz w:val="28"/>
          <w:szCs w:val="28"/>
          <w:lang w:val="en-US"/>
        </w:rPr>
        <w:t>CIPM</w:t>
      </w:r>
      <w:r w:rsidRPr="00BF518F">
        <w:rPr>
          <w:rFonts w:ascii="Times New Roman" w:hAnsi="Times New Roman"/>
          <w:sz w:val="28"/>
          <w:szCs w:val="28"/>
        </w:rPr>
        <w:t xml:space="preserve"> (Международный Комитет Мер и Весов) и региональных метрологических организаций по проведению сличений. 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Настоящая  Договоренность  не распространяется на иные виды деятельности из сферы государственного регулирования в странах участников Договоренности. 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Цель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Дать детальные разъяснения относительно области применения и политики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</w:t>
      </w:r>
      <w:r w:rsidRPr="00BF518F">
        <w:rPr>
          <w:rFonts w:ascii="Times New Roman" w:hAnsi="Times New Roman"/>
          <w:sz w:val="28"/>
          <w:szCs w:val="28"/>
          <w:lang w:val="en-US"/>
        </w:rPr>
        <w:t>MRA</w:t>
      </w:r>
      <w:r w:rsidRPr="00BF518F">
        <w:rPr>
          <w:rFonts w:ascii="Times New Roman" w:hAnsi="Times New Roman"/>
          <w:sz w:val="28"/>
          <w:szCs w:val="28"/>
        </w:rPr>
        <w:t xml:space="preserve">, а также обязательств участников настоящей Договоренности.    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Настоящий документ вступает в силу со дня опубликования  на </w:t>
      </w:r>
      <w:r w:rsidRPr="00BF518F">
        <w:rPr>
          <w:rFonts w:ascii="Times New Roman" w:hAnsi="Times New Roman"/>
          <w:sz w:val="28"/>
          <w:szCs w:val="28"/>
          <w:lang w:val="en-US"/>
        </w:rPr>
        <w:t>web</w:t>
      </w:r>
      <w:r w:rsidRPr="00BF518F">
        <w:rPr>
          <w:rFonts w:ascii="Times New Roman" w:hAnsi="Times New Roman"/>
          <w:sz w:val="28"/>
          <w:szCs w:val="28"/>
        </w:rPr>
        <w:t xml:space="preserve">-сайте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Авторство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Настоящий документ был пересмотрен Исполнительным  Комитетом Договоренности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(АМС)  и Комитетом Договоренности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(</w:t>
      </w:r>
      <w:r w:rsidRPr="00BF518F">
        <w:rPr>
          <w:rFonts w:ascii="Times New Roman" w:hAnsi="Times New Roman"/>
          <w:sz w:val="28"/>
          <w:szCs w:val="28"/>
          <w:lang w:val="en-US"/>
        </w:rPr>
        <w:t>ARC</w:t>
      </w:r>
      <w:r w:rsidRPr="00BF518F">
        <w:rPr>
          <w:rFonts w:ascii="Times New Roman" w:hAnsi="Times New Roman"/>
          <w:sz w:val="28"/>
          <w:szCs w:val="28"/>
        </w:rPr>
        <w:t xml:space="preserve">) в 2011 году, включившими в новую версию документа аккредитацию органов инспекционного контроля в соответствии с готовящимся  расширением области применения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</w:t>
      </w:r>
      <w:r w:rsidRPr="00BF518F">
        <w:rPr>
          <w:rFonts w:ascii="Times New Roman" w:hAnsi="Times New Roman"/>
          <w:sz w:val="28"/>
          <w:szCs w:val="28"/>
          <w:lang w:val="en-US"/>
        </w:rPr>
        <w:t>MRA</w:t>
      </w:r>
      <w:r w:rsidRPr="00BF518F">
        <w:rPr>
          <w:rFonts w:ascii="Times New Roman" w:hAnsi="Times New Roman"/>
          <w:sz w:val="28"/>
          <w:szCs w:val="28"/>
        </w:rPr>
        <w:t xml:space="preserve"> за счет инспекционной деятельности. После одобрения членами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документ был опубликован в ноябре 2011 года. Новые изменения были внесены в документ в 2013 году, они касались оценки компетентности при аккредитации органов инспекционного контроля и были одобрены для опубликования в 2013 году. 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В 2016 году в Приложении В были даны разъяснения относительно сроков     перехода на новые  версии  стандартов, применяемых в рамках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</w:t>
      </w:r>
      <w:r w:rsidRPr="00BF518F">
        <w:rPr>
          <w:rFonts w:ascii="Times New Roman" w:hAnsi="Times New Roman"/>
          <w:sz w:val="28"/>
          <w:szCs w:val="28"/>
          <w:lang w:val="en-US"/>
        </w:rPr>
        <w:t>MRA</w:t>
      </w:r>
      <w:r w:rsidRPr="00BF518F">
        <w:rPr>
          <w:rFonts w:ascii="Times New Roman" w:hAnsi="Times New Roman"/>
          <w:sz w:val="28"/>
          <w:szCs w:val="28"/>
        </w:rPr>
        <w:t xml:space="preserve">. Позднее  документ  был пересмотрен и дополнен положением об аккредитации органов по оценке компетентности – участников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</w:t>
      </w:r>
      <w:r w:rsidRPr="00BF518F">
        <w:rPr>
          <w:rFonts w:ascii="Times New Roman" w:hAnsi="Times New Roman"/>
          <w:sz w:val="28"/>
          <w:szCs w:val="28"/>
          <w:lang w:val="en-US"/>
        </w:rPr>
        <w:t>MRA</w:t>
      </w:r>
      <w:r w:rsidRPr="00BF518F">
        <w:rPr>
          <w:rFonts w:ascii="Times New Roman" w:hAnsi="Times New Roman"/>
          <w:sz w:val="28"/>
          <w:szCs w:val="28"/>
        </w:rPr>
        <w:t xml:space="preserve">.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Договоренность о Взаимном Признании: Область применения и обязательства</w:t>
      </w:r>
    </w:p>
    <w:p w:rsidR="00870696" w:rsidRPr="00BF518F" w:rsidRDefault="00870696" w:rsidP="00A247B0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Настоящая Договоренность основывается на результатах оценки, проводимой  в соответствии с правилами, политикой и процедурами, предусмотренными нормативными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и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Серии А. </w:t>
      </w:r>
    </w:p>
    <w:p w:rsidR="00870696" w:rsidRPr="00BF518F" w:rsidRDefault="00870696" w:rsidP="00A247B0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Каждый орган по аккредитации, подписывающий настоящую Договоренность:  </w:t>
      </w:r>
    </w:p>
    <w:p w:rsidR="00870696" w:rsidRPr="00BF518F" w:rsidRDefault="00870696" w:rsidP="00A247B0">
      <w:p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- Принимает на себя обязательства выполнять  требования и соблюдать условия Договоренности</w:t>
      </w:r>
    </w:p>
    <w:p w:rsidR="00870696" w:rsidRPr="00BF518F" w:rsidRDefault="00870696" w:rsidP="00A247B0">
      <w:p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Обеспечивает  соответствие требованиям стандарта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17011,  дополнительным требованиям, изложенным в документе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</w:t>
      </w:r>
      <w:r w:rsidRPr="00BF518F">
        <w:rPr>
          <w:rFonts w:ascii="Times New Roman" w:hAnsi="Times New Roman"/>
          <w:sz w:val="28"/>
          <w:szCs w:val="28"/>
          <w:lang w:val="en-US"/>
        </w:rPr>
        <w:t>A</w:t>
      </w:r>
      <w:r w:rsidRPr="00BF518F">
        <w:rPr>
          <w:rFonts w:ascii="Times New Roman" w:hAnsi="Times New Roman"/>
          <w:sz w:val="28"/>
          <w:szCs w:val="28"/>
        </w:rPr>
        <w:t xml:space="preserve">2, в других применимых нормативных документах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и документах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Серии А.</w:t>
      </w:r>
    </w:p>
    <w:p w:rsidR="00870696" w:rsidRPr="00BF518F" w:rsidRDefault="00870696" w:rsidP="00A247B0">
      <w:p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- Принимает  необходимые меры к тому, чтобы все аккредитованные лаборатории, органы инспекционного контроля и органы по оценке компетентности отвечали требованиям соответствующих стандартов, перечисленных в Приложении В</w:t>
      </w:r>
    </w:p>
    <w:p w:rsidR="00870696" w:rsidRPr="00BF518F" w:rsidRDefault="00870696" w:rsidP="00A247B0">
      <w:pPr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При изменении требований, ассоциированных с  настоящей Договоренностью, обеспечивает соответствие новым требованиям в  устанавливаемые Генеральной Ассамблеей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сроки. </w:t>
      </w:r>
    </w:p>
    <w:p w:rsidR="00870696" w:rsidRPr="00BF518F" w:rsidRDefault="00870696" w:rsidP="00A247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3. Каждая участвующая 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региональная организация  должна соблюдать требования, устанавливаемые 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</w:t>
      </w:r>
      <w:r w:rsidRPr="00BF518F">
        <w:rPr>
          <w:rFonts w:ascii="Times New Roman" w:hAnsi="Times New Roman"/>
          <w:sz w:val="28"/>
          <w:szCs w:val="28"/>
          <w:lang w:val="en-US"/>
        </w:rPr>
        <w:t>A</w:t>
      </w:r>
      <w:r w:rsidRPr="00BF518F">
        <w:rPr>
          <w:rFonts w:ascii="Times New Roman" w:hAnsi="Times New Roman"/>
          <w:sz w:val="28"/>
          <w:szCs w:val="28"/>
        </w:rPr>
        <w:t>1.</w:t>
      </w:r>
    </w:p>
    <w:p w:rsidR="00870696" w:rsidRPr="00BF518F" w:rsidRDefault="00870696" w:rsidP="00A247B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Каждая организация, подписавшая Договоренность: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признает, в пределах своих полномочий в рамках настоящей Договоренности, свидетельства об аккредитации, выдаваемые другими участниками настоящей  Договоренности, эквивалентными   собственным свидетельствам об аккредитации, 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- принимает и  использует подтвержденные сертификаты и протоколы организаций, аккредитованных другими участниками Договоренности,  наравне с подтвержденными сертификатами и протоколами аккредитованных ею организаций,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- рекомендует и поддерживает использование потребителями в своих странах подтвержденных сертификатов и протоколов,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- рассматривает  жалобы других участников Договоренности, связанные с сертификатами или протоколами организаций, ранее  аккредитованных ею в рамках программы аккредитации,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извещает в максимально короткие сроки Секретариат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обо всех имевших место или планируемых значительных изменениях своего статуса, операционных практик или программ аккредитации,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участвует в работе Совета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Договоренности,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участвует в работе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, в том числе в процедуре  голосования,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в соответствии с имеющимися  возможностями и потребностями Исполнительного Комитета Договоренности предоставляет экспертов    для оценки и переоценки органов по аккредитации и региональных организаций, периодически проводимой Комитетом с согласия заинтересованной признанной региональной организации, 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с целью увеличения числа участников Договоренности поддерживает контакты с другими органами по аккредитации и региональными организациями, </w:t>
      </w:r>
    </w:p>
    <w:p w:rsidR="00870696" w:rsidRPr="00BF518F" w:rsidRDefault="00870696" w:rsidP="00A247B0">
      <w:pPr>
        <w:pStyle w:val="a"/>
        <w:ind w:hanging="153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 рассматривает любую информацию, полученную при проведении  экспертной оценки, как  конфиденциальную и использует ее исключительно применительно к  профессиональной деятельности, 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-соблюдает  правила использования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-</w:t>
      </w:r>
      <w:r w:rsidRPr="00BF518F">
        <w:rPr>
          <w:rFonts w:ascii="Times New Roman" w:hAnsi="Times New Roman"/>
          <w:sz w:val="28"/>
          <w:szCs w:val="28"/>
          <w:lang w:val="en-US"/>
        </w:rPr>
        <w:t>MRA</w:t>
      </w:r>
      <w:r w:rsidRPr="00BF518F">
        <w:rPr>
          <w:rFonts w:ascii="Times New Roman" w:hAnsi="Times New Roman"/>
          <w:sz w:val="28"/>
          <w:szCs w:val="28"/>
        </w:rPr>
        <w:t xml:space="preserve"> Знака (Логотипа).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pStyle w:val="a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F518F">
        <w:rPr>
          <w:rFonts w:ascii="Times New Roman" w:hAnsi="Times New Roman"/>
          <w:sz w:val="28"/>
          <w:szCs w:val="28"/>
        </w:rPr>
        <w:t>*</w:t>
      </w:r>
      <w:r w:rsidRPr="00BF518F">
        <w:rPr>
          <w:rFonts w:ascii="Times New Roman" w:hAnsi="Times New Roman"/>
          <w:i/>
          <w:sz w:val="24"/>
          <w:szCs w:val="24"/>
        </w:rPr>
        <w:t xml:space="preserve">Определение  «подтвержденный» относится к  сертификату  или протоколу, имеющему нанесенный на него аккредитационный символ (знак)   участника Договоренности, предпочтительно в комбинации  с </w:t>
      </w:r>
      <w:r w:rsidRPr="00BF518F">
        <w:rPr>
          <w:rFonts w:ascii="Times New Roman" w:hAnsi="Times New Roman"/>
          <w:i/>
          <w:sz w:val="24"/>
          <w:szCs w:val="24"/>
          <w:lang w:val="en-US"/>
        </w:rPr>
        <w:t>ILAC</w:t>
      </w:r>
      <w:r w:rsidRPr="00BF518F">
        <w:rPr>
          <w:rFonts w:ascii="Times New Roman" w:hAnsi="Times New Roman"/>
          <w:i/>
          <w:sz w:val="24"/>
          <w:szCs w:val="24"/>
        </w:rPr>
        <w:t xml:space="preserve"> </w:t>
      </w:r>
      <w:r w:rsidRPr="00BF518F">
        <w:rPr>
          <w:rFonts w:ascii="Times New Roman" w:hAnsi="Times New Roman"/>
          <w:i/>
          <w:sz w:val="24"/>
          <w:szCs w:val="24"/>
          <w:lang w:val="en-US"/>
        </w:rPr>
        <w:t>MRA</w:t>
      </w:r>
      <w:r w:rsidRPr="00BF518F">
        <w:rPr>
          <w:rFonts w:ascii="Times New Roman" w:hAnsi="Times New Roman"/>
          <w:i/>
          <w:sz w:val="24"/>
          <w:szCs w:val="24"/>
        </w:rPr>
        <w:t xml:space="preserve"> Логотипом.</w:t>
      </w:r>
      <w:r w:rsidRPr="00BF518F">
        <w:rPr>
          <w:rFonts w:ascii="Times New Roman" w:hAnsi="Times New Roman"/>
          <w:sz w:val="24"/>
          <w:szCs w:val="24"/>
        </w:rPr>
        <w:t xml:space="preserve"> 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5. Для участия 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орган по аккредитации должен пройти оценку в соответствии с правилами и процедурами, определяемыми 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серия А и нормативными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, а также заполнить анкету участника  Договоренности, утвержденную  Председателем Совета Договоренности (Приложение А настоящей Договоренности). Аналогичная процедура применяется при продлении сроков участия в Договоренности. 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6. Область признания участника Договоренности может быть изменена (расширена или сужена) по результатам повторной оценки, проводимой в соответствии с установленными правилами, политикой и процедурами.     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7. Если участник отказывается от участия в  Договоренности,  полностью или в какой-либо части области его признания, то независимо от причины он должен не позднее,  чем за три месяца проинформировать об этом в письменной форме Секретариат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  Секретариат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 оповещает об этом других участников Договоренности. После выхода органа из Договоренности его заявка на участие аннулируется. Соответствующие изменения вносятся в список участников.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8. Участник Договоренности, в отношении которого Советом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было принято неблагоприятное  решение, вправе оспорить его в соответствии с процедурой, предусмотренной документом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Р4. 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9. Любые изменения, вносимые в текст настоящей Договоренности,  должны быть одобрены Генеральной  Ассамблеей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. 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10. Каждый участник Договоренности признает и понимает, что настоящая Договоренность не создает никаких  дополнительных прав  или обязательств в рамках национального или международного законодательства. Настоящая Договоренность не является основанием для признания или аккредитации, проводимой на национальном уровне в соответствии с действующими в стране участника правилами или  законами.   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11. Настоящая  Договоренность состоит из  двенадцати (12) пунктов и двух  Приложений. </w:t>
      </w:r>
    </w:p>
    <w:p w:rsidR="00870696" w:rsidRPr="00BF518F" w:rsidRDefault="00870696" w:rsidP="00A247B0">
      <w:pPr>
        <w:pStyle w:val="a"/>
        <w:ind w:hanging="294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12. Настоящая Договоренность вступает в силу после ее подписания одновременно органом по аккредитации  и Председателем Совета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Договоренности.         </w:t>
      </w:r>
    </w:p>
    <w:p w:rsidR="00870696" w:rsidRPr="00BF518F" w:rsidRDefault="00870696" w:rsidP="00D27059">
      <w:pPr>
        <w:pStyle w:val="a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    </w:t>
      </w:r>
    </w:p>
    <w:p w:rsidR="00870696" w:rsidRPr="00BF518F" w:rsidRDefault="00870696" w:rsidP="00274BEF">
      <w:pPr>
        <w:pStyle w:val="a"/>
        <w:ind w:left="1080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274BEF">
      <w:pPr>
        <w:pStyle w:val="a"/>
        <w:ind w:left="1080"/>
        <w:rPr>
          <w:rFonts w:ascii="Times New Roman" w:hAnsi="Times New Roman"/>
          <w:sz w:val="28"/>
          <w:szCs w:val="28"/>
        </w:rPr>
      </w:pPr>
    </w:p>
    <w:p w:rsidR="00870696" w:rsidRDefault="00870696" w:rsidP="00274BEF">
      <w:pPr>
        <w:pStyle w:val="a"/>
        <w:ind w:left="1080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      </w:t>
      </w:r>
    </w:p>
    <w:p w:rsidR="00870696" w:rsidRPr="00BF518F" w:rsidRDefault="00870696" w:rsidP="00274BEF">
      <w:pPr>
        <w:pStyle w:val="a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4" o:spid="_x0000_s1027" type="#_x0000_t75" style="position:absolute;margin-left:161.7pt;margin-top:25.75pt;width:111.75pt;height:112.5pt;z-index:251659264;visibility:visible">
            <v:imagedata r:id="rId7" o:title=""/>
          </v:shape>
        </w:pict>
      </w:r>
      <w:r w:rsidRPr="00BF518F">
        <w:rPr>
          <w:rFonts w:ascii="Times New Roman" w:hAnsi="Times New Roman"/>
          <w:b/>
          <w:sz w:val="28"/>
          <w:szCs w:val="28"/>
        </w:rPr>
        <w:t>Приложение А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          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7E2112">
      <w:pPr>
        <w:jc w:val="center"/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b/>
          <w:sz w:val="28"/>
          <w:szCs w:val="28"/>
        </w:rPr>
        <w:t xml:space="preserve"> Договоренность о Взаимном Признании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Участники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Мы, нижеподписавшиеся принимаем условия настоящей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и обязуемся выполнять их с использованием всех имеющихся возможностей.</w:t>
      </w: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Орган по аккредитации:</w:t>
      </w: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Страна:</w:t>
      </w: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Область применения и дата:</w:t>
      </w: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Уполномоченный представитель: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Подпись: </w:t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EE71A2">
        <w:rPr>
          <w:rFonts w:ascii="Times New Roman" w:hAnsi="Times New Roman"/>
          <w:sz w:val="28"/>
          <w:szCs w:val="28"/>
        </w:rPr>
        <w:tab/>
      </w:r>
      <w:r w:rsidRPr="00BF518F">
        <w:rPr>
          <w:rFonts w:ascii="Times New Roman" w:hAnsi="Times New Roman"/>
          <w:sz w:val="28"/>
          <w:szCs w:val="28"/>
        </w:rPr>
        <w:t>Дата: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  <w:r w:rsidRPr="00BF518F">
        <w:rPr>
          <w:rFonts w:ascii="Times New Roman" w:hAnsi="Times New Roman"/>
          <w:b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b/>
          <w:sz w:val="28"/>
          <w:szCs w:val="28"/>
        </w:rPr>
        <w:t xml:space="preserve"> Договоренности: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Подпись:</w:t>
      </w:r>
      <w:r w:rsidRPr="00A247B0">
        <w:rPr>
          <w:rFonts w:ascii="Times New Roman" w:hAnsi="Times New Roman"/>
          <w:sz w:val="28"/>
          <w:szCs w:val="28"/>
        </w:rPr>
        <w:t xml:space="preserve"> </w:t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A247B0">
        <w:rPr>
          <w:rFonts w:ascii="Times New Roman" w:hAnsi="Times New Roman"/>
          <w:sz w:val="28"/>
          <w:szCs w:val="28"/>
        </w:rPr>
        <w:tab/>
      </w:r>
      <w:r w:rsidRPr="00BF518F">
        <w:rPr>
          <w:rFonts w:ascii="Times New Roman" w:hAnsi="Times New Roman"/>
          <w:sz w:val="28"/>
          <w:szCs w:val="28"/>
        </w:rPr>
        <w:t xml:space="preserve"> Дата:</w:t>
      </w:r>
    </w:p>
    <w:p w:rsidR="00870696" w:rsidRDefault="00870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0696" w:rsidRPr="00BF518F" w:rsidRDefault="00870696" w:rsidP="00A247B0">
      <w:pPr>
        <w:jc w:val="both"/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>Приложение В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Участники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о Взаимном Признании осуществляют свою деятельность в соответствии с критериями, устанавливаемыми действующей версией стандарта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17011,  при необходимости дополненной нормативными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и документами </w:t>
      </w:r>
      <w:r w:rsidRPr="00BF518F">
        <w:rPr>
          <w:rFonts w:ascii="Times New Roman" w:hAnsi="Times New Roman"/>
          <w:sz w:val="28"/>
          <w:szCs w:val="28"/>
          <w:lang w:val="en-US"/>
        </w:rPr>
        <w:t>IAF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серии А.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Участники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о взаимном признании аккредитуют лаборатории, органы инспекционного контроля, органы по оценке компетентности и другие органы по оценке соответствия на соответствие действующим версиям Стандартов, приведенных  в таблице.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b/>
          <w:sz w:val="28"/>
          <w:szCs w:val="28"/>
        </w:rPr>
      </w:pPr>
      <w:r w:rsidRPr="00BF518F">
        <w:rPr>
          <w:rFonts w:ascii="Times New Roman" w:hAnsi="Times New Roman"/>
          <w:b/>
          <w:sz w:val="28"/>
          <w:szCs w:val="28"/>
        </w:rPr>
        <w:t xml:space="preserve">Политика в отношении сроков, устанавливаемых для  перехода на новые   версии стандартов. 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После опубликования новых версий стандартов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принимает решение по срокам их внедрения. По окончании переходного периода все аттестаты аккредитации должны содержать ссылки на новые версии стандартов. Соответствие новым требованиям оценивается в ходе надзорных мероприятий, плановых или внеплановых проверок.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По окончании переходного периода органы по оценке соответствия, аккредитованные на основании старых  версий  пересмотренных стандартов, не считаются признанными в рамках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о Взаимном Признании.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Решения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относительно переходного периода, устанавливаемого для каждого пересмотренного стандарта, оформляются в виде  резолюций Генеральной Ассамблеи и размещаются на </w:t>
      </w:r>
      <w:r w:rsidRPr="00BF518F">
        <w:rPr>
          <w:rFonts w:ascii="Times New Roman" w:hAnsi="Times New Roman"/>
          <w:sz w:val="28"/>
          <w:szCs w:val="28"/>
          <w:lang w:val="en-US"/>
        </w:rPr>
        <w:t>web</w:t>
      </w:r>
      <w:r w:rsidRPr="00BF518F">
        <w:rPr>
          <w:rFonts w:ascii="Times New Roman" w:hAnsi="Times New Roman"/>
          <w:sz w:val="28"/>
          <w:szCs w:val="28"/>
        </w:rPr>
        <w:t xml:space="preserve">-сайте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>.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В настоящее время применительно к органам по оценке соответствия, признанным отвечающими  аккредитационным требованиям в рамках 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 о Взаимном Признании, используются следующие стандарты: </w:t>
      </w: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969"/>
        <w:gridCol w:w="2375"/>
      </w:tblGrid>
      <w:tr w:rsidR="00870696" w:rsidRPr="00BF518F" w:rsidTr="00A247B0">
        <w:tc>
          <w:tcPr>
            <w:tcW w:w="3227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>/</w:t>
            </w: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IEC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 xml:space="preserve"> 17025   </w:t>
            </w:r>
          </w:p>
        </w:tc>
        <w:tc>
          <w:tcPr>
            <w:tcW w:w="3969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 xml:space="preserve">Общие требования к компетентности испытательных и калибровочных лабораторий  </w:t>
            </w:r>
          </w:p>
        </w:tc>
        <w:tc>
          <w:tcPr>
            <w:tcW w:w="2375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Калибровочные лаборатории</w:t>
            </w:r>
          </w:p>
        </w:tc>
      </w:tr>
      <w:tr w:rsidR="00870696" w:rsidRPr="00BF518F" w:rsidTr="00A247B0">
        <w:tc>
          <w:tcPr>
            <w:tcW w:w="3227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>/</w:t>
            </w: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IEC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 xml:space="preserve"> 17025  </w:t>
            </w:r>
          </w:p>
        </w:tc>
        <w:tc>
          <w:tcPr>
            <w:tcW w:w="3969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 xml:space="preserve">Общие требования к компетентности испытательных и калибровочных лабораторий  </w:t>
            </w:r>
          </w:p>
        </w:tc>
        <w:tc>
          <w:tcPr>
            <w:tcW w:w="2375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Испытательные лаборатории</w:t>
            </w:r>
          </w:p>
        </w:tc>
      </w:tr>
      <w:tr w:rsidR="00870696" w:rsidRPr="00BF518F" w:rsidTr="00A247B0">
        <w:tc>
          <w:tcPr>
            <w:tcW w:w="3227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 xml:space="preserve"> 15189 </w:t>
            </w:r>
            <w:r w:rsidRPr="00BF518F">
              <w:rPr>
                <w:rFonts w:ascii="Times New Roman" w:hAnsi="Times New Roman"/>
                <w:sz w:val="24"/>
                <w:szCs w:val="24"/>
              </w:rPr>
              <w:t>(Примечание 1)</w:t>
            </w:r>
          </w:p>
        </w:tc>
        <w:tc>
          <w:tcPr>
            <w:tcW w:w="3969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Медицинские лаборатории – требования к качеству и компетентности</w:t>
            </w:r>
          </w:p>
        </w:tc>
        <w:tc>
          <w:tcPr>
            <w:tcW w:w="2375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Медицинские испытательные  лаборатории</w:t>
            </w:r>
          </w:p>
        </w:tc>
      </w:tr>
      <w:tr w:rsidR="00870696" w:rsidRPr="00BF518F" w:rsidTr="00A247B0">
        <w:tc>
          <w:tcPr>
            <w:tcW w:w="3227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>/</w:t>
            </w: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IEC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 xml:space="preserve"> 17020  </w:t>
            </w:r>
          </w:p>
        </w:tc>
        <w:tc>
          <w:tcPr>
            <w:tcW w:w="3969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Оценка соответствия – Общие требования для оценки профессионального мастерства</w:t>
            </w:r>
          </w:p>
        </w:tc>
        <w:tc>
          <w:tcPr>
            <w:tcW w:w="2375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Органы инспекционного контроля</w:t>
            </w:r>
          </w:p>
        </w:tc>
      </w:tr>
      <w:tr w:rsidR="00870696" w:rsidRPr="00BF518F" w:rsidTr="00A247B0">
        <w:tc>
          <w:tcPr>
            <w:tcW w:w="3227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>/</w:t>
            </w:r>
            <w:r w:rsidRPr="00BF518F">
              <w:rPr>
                <w:rFonts w:ascii="Times New Roman" w:hAnsi="Times New Roman"/>
                <w:sz w:val="28"/>
                <w:szCs w:val="28"/>
                <w:lang w:val="en-US"/>
              </w:rPr>
              <w:t>IEC</w:t>
            </w:r>
            <w:r w:rsidRPr="00BF518F">
              <w:rPr>
                <w:rFonts w:ascii="Times New Roman" w:hAnsi="Times New Roman"/>
                <w:sz w:val="28"/>
                <w:szCs w:val="28"/>
              </w:rPr>
              <w:t xml:space="preserve"> 17043</w:t>
            </w:r>
          </w:p>
        </w:tc>
        <w:tc>
          <w:tcPr>
            <w:tcW w:w="3969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Оценка соответствия – Общие требования для оценки профессионального мастерства</w:t>
            </w:r>
          </w:p>
        </w:tc>
        <w:tc>
          <w:tcPr>
            <w:tcW w:w="2375" w:type="dxa"/>
          </w:tcPr>
          <w:p w:rsidR="00870696" w:rsidRPr="00BF518F" w:rsidRDefault="00870696" w:rsidP="009C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8F">
              <w:rPr>
                <w:rFonts w:ascii="Times New Roman" w:hAnsi="Times New Roman"/>
                <w:sz w:val="24"/>
                <w:szCs w:val="24"/>
              </w:rPr>
              <w:t>Органы по оценке компетентности</w:t>
            </w:r>
          </w:p>
        </w:tc>
      </w:tr>
    </w:tbl>
    <w:p w:rsidR="00870696" w:rsidRPr="00BF518F" w:rsidRDefault="00870696">
      <w:pPr>
        <w:rPr>
          <w:rFonts w:ascii="Times New Roman" w:hAnsi="Times New Roman"/>
          <w:sz w:val="28"/>
          <w:szCs w:val="28"/>
        </w:rPr>
      </w:pP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>Примечания: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696" w:rsidRPr="00BF518F" w:rsidRDefault="00870696" w:rsidP="00A227F9">
      <w:pPr>
        <w:pStyle w:val="a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BF518F">
        <w:rPr>
          <w:rFonts w:ascii="Times New Roman" w:hAnsi="Times New Roman"/>
          <w:b/>
          <w:i/>
          <w:sz w:val="28"/>
          <w:szCs w:val="28"/>
        </w:rPr>
        <w:t xml:space="preserve">Резолюция Генеральной Ассамблеи </w:t>
      </w:r>
      <w:r w:rsidRPr="00BF518F">
        <w:rPr>
          <w:rFonts w:ascii="Times New Roman" w:hAnsi="Times New Roman"/>
          <w:b/>
          <w:i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b/>
          <w:i/>
          <w:sz w:val="28"/>
          <w:szCs w:val="28"/>
        </w:rPr>
        <w:t xml:space="preserve"> 16.21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Учитывая  результаты голосования членов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по проекту стандарта 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</w:t>
      </w:r>
      <w:r w:rsidRPr="00BF518F">
        <w:rPr>
          <w:rFonts w:ascii="Times New Roman" w:hAnsi="Times New Roman"/>
          <w:sz w:val="28"/>
          <w:szCs w:val="28"/>
          <w:lang w:val="en-US"/>
        </w:rPr>
        <w:t>FDIS</w:t>
      </w:r>
      <w:r w:rsidRPr="00BF518F">
        <w:rPr>
          <w:rFonts w:ascii="Times New Roman" w:hAnsi="Times New Roman"/>
          <w:sz w:val="28"/>
          <w:szCs w:val="28"/>
        </w:rPr>
        <w:t xml:space="preserve"> 15189, закончившегося 11 октября 2012 г., Генеральной Ассамблеей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было принято решение, что начиная с 1 марта 2016 года все ссылки в аттестатах аккредитации на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15189 (предусмотрено стандартом 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>/</w:t>
      </w:r>
      <w:r w:rsidRPr="00BF518F">
        <w:rPr>
          <w:rFonts w:ascii="Times New Roman" w:hAnsi="Times New Roman"/>
          <w:sz w:val="28"/>
          <w:szCs w:val="28"/>
          <w:lang w:val="en-US"/>
        </w:rPr>
        <w:t>IEC</w:t>
      </w:r>
      <w:r w:rsidRPr="00BF518F">
        <w:rPr>
          <w:rFonts w:ascii="Times New Roman" w:hAnsi="Times New Roman"/>
          <w:sz w:val="28"/>
          <w:szCs w:val="28"/>
        </w:rPr>
        <w:t xml:space="preserve"> 17011) должны  относиться к последней версии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15189. Выполнение данного требования будет проверяться в рамках осуществления инспекционного контроля, при проведении повторных оценок соответствия и специальных проверок. </w:t>
      </w: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870696" w:rsidRPr="00BF518F" w:rsidRDefault="00870696" w:rsidP="00A247B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По окончании переходного периода аккредитация лабораторий на соответствие </w:t>
      </w:r>
      <w:r w:rsidRPr="00BF518F">
        <w:rPr>
          <w:rFonts w:ascii="Times New Roman" w:hAnsi="Times New Roman"/>
          <w:sz w:val="28"/>
          <w:szCs w:val="28"/>
          <w:lang w:val="en-US"/>
        </w:rPr>
        <w:t>ISO</w:t>
      </w:r>
      <w:r w:rsidRPr="00BF518F">
        <w:rPr>
          <w:rFonts w:ascii="Times New Roman" w:hAnsi="Times New Roman"/>
          <w:sz w:val="28"/>
          <w:szCs w:val="28"/>
        </w:rPr>
        <w:t xml:space="preserve"> 15189:2007 не будет признаваться в рамках </w:t>
      </w:r>
      <w:r w:rsidRPr="00BF518F">
        <w:rPr>
          <w:rFonts w:ascii="Times New Roman" w:hAnsi="Times New Roman"/>
          <w:sz w:val="28"/>
          <w:szCs w:val="28"/>
          <w:lang w:val="en-US"/>
        </w:rPr>
        <w:t>ILAC</w:t>
      </w:r>
      <w:r w:rsidRPr="00BF518F">
        <w:rPr>
          <w:rFonts w:ascii="Times New Roman" w:hAnsi="Times New Roman"/>
          <w:sz w:val="28"/>
          <w:szCs w:val="28"/>
        </w:rPr>
        <w:t xml:space="preserve"> Договоренности.                    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</w:t>
      </w:r>
    </w:p>
    <w:p w:rsidR="00870696" w:rsidRPr="00BF518F" w:rsidRDefault="00870696">
      <w:pPr>
        <w:rPr>
          <w:rFonts w:ascii="Times New Roman" w:hAnsi="Times New Roman"/>
          <w:sz w:val="28"/>
          <w:szCs w:val="28"/>
        </w:rPr>
      </w:pPr>
      <w:r w:rsidRPr="00BF518F"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870696" w:rsidRPr="00BF518F" w:rsidSect="001C37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96" w:rsidRDefault="00870696" w:rsidP="00BF518F">
      <w:pPr>
        <w:spacing w:after="0" w:line="240" w:lineRule="auto"/>
      </w:pPr>
      <w:r>
        <w:separator/>
      </w:r>
    </w:p>
  </w:endnote>
  <w:endnote w:type="continuationSeparator" w:id="0">
    <w:p w:rsidR="00870696" w:rsidRDefault="00870696" w:rsidP="00B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96" w:rsidRDefault="00870696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870696" w:rsidRDefault="00870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96" w:rsidRDefault="00870696" w:rsidP="00BF518F">
      <w:pPr>
        <w:spacing w:after="0" w:line="240" w:lineRule="auto"/>
      </w:pPr>
      <w:r>
        <w:separator/>
      </w:r>
    </w:p>
  </w:footnote>
  <w:footnote w:type="continuationSeparator" w:id="0">
    <w:p w:rsidR="00870696" w:rsidRDefault="00870696" w:rsidP="00BF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FB3"/>
    <w:multiLevelType w:val="hybridMultilevel"/>
    <w:tmpl w:val="6F08E410"/>
    <w:lvl w:ilvl="0" w:tplc="03CC07E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919F5"/>
    <w:multiLevelType w:val="hybridMultilevel"/>
    <w:tmpl w:val="15B0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769F8"/>
    <w:multiLevelType w:val="hybridMultilevel"/>
    <w:tmpl w:val="A97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E6291"/>
    <w:multiLevelType w:val="hybridMultilevel"/>
    <w:tmpl w:val="3D8E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409B4"/>
    <w:multiLevelType w:val="hybridMultilevel"/>
    <w:tmpl w:val="A0D44FD2"/>
    <w:lvl w:ilvl="0" w:tplc="14206E2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CD30E0"/>
    <w:multiLevelType w:val="hybridMultilevel"/>
    <w:tmpl w:val="9C26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223"/>
    <w:rsid w:val="0000151E"/>
    <w:rsid w:val="0000518F"/>
    <w:rsid w:val="00015005"/>
    <w:rsid w:val="00022158"/>
    <w:rsid w:val="0003122D"/>
    <w:rsid w:val="00041EED"/>
    <w:rsid w:val="00056AD4"/>
    <w:rsid w:val="00061558"/>
    <w:rsid w:val="000618A7"/>
    <w:rsid w:val="000742F9"/>
    <w:rsid w:val="00074ECE"/>
    <w:rsid w:val="00087D64"/>
    <w:rsid w:val="000928DB"/>
    <w:rsid w:val="00094770"/>
    <w:rsid w:val="000A3CC0"/>
    <w:rsid w:val="000B55DE"/>
    <w:rsid w:val="000D3F07"/>
    <w:rsid w:val="000F51DB"/>
    <w:rsid w:val="000F6528"/>
    <w:rsid w:val="000F689C"/>
    <w:rsid w:val="00105BEB"/>
    <w:rsid w:val="00125C20"/>
    <w:rsid w:val="00140FFD"/>
    <w:rsid w:val="00141912"/>
    <w:rsid w:val="001540CD"/>
    <w:rsid w:val="001556C6"/>
    <w:rsid w:val="00162B5C"/>
    <w:rsid w:val="001677F3"/>
    <w:rsid w:val="00170FCF"/>
    <w:rsid w:val="00183AA9"/>
    <w:rsid w:val="001849B7"/>
    <w:rsid w:val="00193982"/>
    <w:rsid w:val="001B49AA"/>
    <w:rsid w:val="001C3732"/>
    <w:rsid w:val="001C3753"/>
    <w:rsid w:val="001D5692"/>
    <w:rsid w:val="001D6AFB"/>
    <w:rsid w:val="001E05A4"/>
    <w:rsid w:val="001F4662"/>
    <w:rsid w:val="001F7338"/>
    <w:rsid w:val="001F755D"/>
    <w:rsid w:val="00200A05"/>
    <w:rsid w:val="0021017F"/>
    <w:rsid w:val="00210550"/>
    <w:rsid w:val="002170B9"/>
    <w:rsid w:val="0022376A"/>
    <w:rsid w:val="00225D94"/>
    <w:rsid w:val="00234C79"/>
    <w:rsid w:val="0024205D"/>
    <w:rsid w:val="00254326"/>
    <w:rsid w:val="00265D00"/>
    <w:rsid w:val="00271683"/>
    <w:rsid w:val="00274B7E"/>
    <w:rsid w:val="00274BEF"/>
    <w:rsid w:val="00297D4B"/>
    <w:rsid w:val="002A452B"/>
    <w:rsid w:val="002A4E8A"/>
    <w:rsid w:val="002C18AC"/>
    <w:rsid w:val="002C57F3"/>
    <w:rsid w:val="002D3B0E"/>
    <w:rsid w:val="002D6E76"/>
    <w:rsid w:val="002E1331"/>
    <w:rsid w:val="002E379C"/>
    <w:rsid w:val="002E6918"/>
    <w:rsid w:val="002F5C5C"/>
    <w:rsid w:val="003022E2"/>
    <w:rsid w:val="003057E1"/>
    <w:rsid w:val="00313709"/>
    <w:rsid w:val="003177B0"/>
    <w:rsid w:val="00321358"/>
    <w:rsid w:val="003274D1"/>
    <w:rsid w:val="00335D3A"/>
    <w:rsid w:val="00353087"/>
    <w:rsid w:val="00353B7F"/>
    <w:rsid w:val="00366CD6"/>
    <w:rsid w:val="0037778A"/>
    <w:rsid w:val="00381027"/>
    <w:rsid w:val="00386142"/>
    <w:rsid w:val="00386DAA"/>
    <w:rsid w:val="00397E12"/>
    <w:rsid w:val="003B1DED"/>
    <w:rsid w:val="003B7B96"/>
    <w:rsid w:val="003C6C2D"/>
    <w:rsid w:val="003C75E7"/>
    <w:rsid w:val="003D1992"/>
    <w:rsid w:val="003E3515"/>
    <w:rsid w:val="003E430D"/>
    <w:rsid w:val="003F5F4F"/>
    <w:rsid w:val="00413A5F"/>
    <w:rsid w:val="004226D6"/>
    <w:rsid w:val="0042347B"/>
    <w:rsid w:val="00431BAA"/>
    <w:rsid w:val="00435099"/>
    <w:rsid w:val="00440E38"/>
    <w:rsid w:val="0044174C"/>
    <w:rsid w:val="004442F8"/>
    <w:rsid w:val="00444668"/>
    <w:rsid w:val="004543CE"/>
    <w:rsid w:val="004549F8"/>
    <w:rsid w:val="00463117"/>
    <w:rsid w:val="00463418"/>
    <w:rsid w:val="004742C3"/>
    <w:rsid w:val="00484555"/>
    <w:rsid w:val="00487F81"/>
    <w:rsid w:val="004B0BA4"/>
    <w:rsid w:val="004C02E0"/>
    <w:rsid w:val="004D5B8A"/>
    <w:rsid w:val="004E3DE2"/>
    <w:rsid w:val="004F0455"/>
    <w:rsid w:val="005023A2"/>
    <w:rsid w:val="00504779"/>
    <w:rsid w:val="00505334"/>
    <w:rsid w:val="00507295"/>
    <w:rsid w:val="0052387E"/>
    <w:rsid w:val="00542104"/>
    <w:rsid w:val="0055093B"/>
    <w:rsid w:val="00552A98"/>
    <w:rsid w:val="0059075E"/>
    <w:rsid w:val="005956F6"/>
    <w:rsid w:val="005A006C"/>
    <w:rsid w:val="005C4D77"/>
    <w:rsid w:val="005D27DD"/>
    <w:rsid w:val="005E152D"/>
    <w:rsid w:val="005E4CCB"/>
    <w:rsid w:val="005E6526"/>
    <w:rsid w:val="005F44C1"/>
    <w:rsid w:val="005F6F27"/>
    <w:rsid w:val="006008D8"/>
    <w:rsid w:val="006027E8"/>
    <w:rsid w:val="00604394"/>
    <w:rsid w:val="006143E0"/>
    <w:rsid w:val="00621E9B"/>
    <w:rsid w:val="00626931"/>
    <w:rsid w:val="00631B1B"/>
    <w:rsid w:val="00635B32"/>
    <w:rsid w:val="00647F46"/>
    <w:rsid w:val="00650919"/>
    <w:rsid w:val="006534D7"/>
    <w:rsid w:val="00654DF3"/>
    <w:rsid w:val="00656B52"/>
    <w:rsid w:val="0065779E"/>
    <w:rsid w:val="00667C41"/>
    <w:rsid w:val="00672278"/>
    <w:rsid w:val="00673F6F"/>
    <w:rsid w:val="006764EF"/>
    <w:rsid w:val="0069323A"/>
    <w:rsid w:val="00697E6A"/>
    <w:rsid w:val="006A08C9"/>
    <w:rsid w:val="006B001E"/>
    <w:rsid w:val="006B1412"/>
    <w:rsid w:val="006B25BD"/>
    <w:rsid w:val="006C62F5"/>
    <w:rsid w:val="006D39E0"/>
    <w:rsid w:val="006E1028"/>
    <w:rsid w:val="006F6A68"/>
    <w:rsid w:val="007006A9"/>
    <w:rsid w:val="00702CCE"/>
    <w:rsid w:val="00713639"/>
    <w:rsid w:val="007156B2"/>
    <w:rsid w:val="007174D8"/>
    <w:rsid w:val="00726BE6"/>
    <w:rsid w:val="007279B2"/>
    <w:rsid w:val="007346ED"/>
    <w:rsid w:val="00742260"/>
    <w:rsid w:val="007460CD"/>
    <w:rsid w:val="00781FEB"/>
    <w:rsid w:val="00784F23"/>
    <w:rsid w:val="00794FD6"/>
    <w:rsid w:val="007974AD"/>
    <w:rsid w:val="007A0F9D"/>
    <w:rsid w:val="007A5457"/>
    <w:rsid w:val="007B13E3"/>
    <w:rsid w:val="007B3067"/>
    <w:rsid w:val="007C4FD1"/>
    <w:rsid w:val="007D10F0"/>
    <w:rsid w:val="007D3D07"/>
    <w:rsid w:val="007E2112"/>
    <w:rsid w:val="007E32E0"/>
    <w:rsid w:val="007E3E82"/>
    <w:rsid w:val="007F25FC"/>
    <w:rsid w:val="007F4025"/>
    <w:rsid w:val="00801F11"/>
    <w:rsid w:val="00810AD8"/>
    <w:rsid w:val="00823ACB"/>
    <w:rsid w:val="008247B4"/>
    <w:rsid w:val="00826ACC"/>
    <w:rsid w:val="00852306"/>
    <w:rsid w:val="00852A50"/>
    <w:rsid w:val="00852E4B"/>
    <w:rsid w:val="00857B58"/>
    <w:rsid w:val="00870696"/>
    <w:rsid w:val="008713FA"/>
    <w:rsid w:val="008A2A9D"/>
    <w:rsid w:val="008A30E9"/>
    <w:rsid w:val="008B07B0"/>
    <w:rsid w:val="008B3A97"/>
    <w:rsid w:val="008E46A9"/>
    <w:rsid w:val="008E50E7"/>
    <w:rsid w:val="008F31CF"/>
    <w:rsid w:val="008F58CA"/>
    <w:rsid w:val="00910CFC"/>
    <w:rsid w:val="00913051"/>
    <w:rsid w:val="0091357C"/>
    <w:rsid w:val="00916DF3"/>
    <w:rsid w:val="00920557"/>
    <w:rsid w:val="009418EF"/>
    <w:rsid w:val="0094435A"/>
    <w:rsid w:val="00961065"/>
    <w:rsid w:val="00967C20"/>
    <w:rsid w:val="00973854"/>
    <w:rsid w:val="0098026F"/>
    <w:rsid w:val="0098599E"/>
    <w:rsid w:val="00994285"/>
    <w:rsid w:val="009A0BCB"/>
    <w:rsid w:val="009B065E"/>
    <w:rsid w:val="009B2B1B"/>
    <w:rsid w:val="009B5863"/>
    <w:rsid w:val="009B5B31"/>
    <w:rsid w:val="009C09DB"/>
    <w:rsid w:val="009C3564"/>
    <w:rsid w:val="009D0166"/>
    <w:rsid w:val="009D43CD"/>
    <w:rsid w:val="009D65A9"/>
    <w:rsid w:val="009D68CF"/>
    <w:rsid w:val="009E5A72"/>
    <w:rsid w:val="00A017A8"/>
    <w:rsid w:val="00A227F9"/>
    <w:rsid w:val="00A233A9"/>
    <w:rsid w:val="00A23791"/>
    <w:rsid w:val="00A247B0"/>
    <w:rsid w:val="00A3121F"/>
    <w:rsid w:val="00A438E2"/>
    <w:rsid w:val="00A605BF"/>
    <w:rsid w:val="00A670EE"/>
    <w:rsid w:val="00A731A4"/>
    <w:rsid w:val="00A802DE"/>
    <w:rsid w:val="00A821D7"/>
    <w:rsid w:val="00A8467B"/>
    <w:rsid w:val="00A95F29"/>
    <w:rsid w:val="00AA2879"/>
    <w:rsid w:val="00AA2A40"/>
    <w:rsid w:val="00AA46B7"/>
    <w:rsid w:val="00AA632A"/>
    <w:rsid w:val="00AA7A56"/>
    <w:rsid w:val="00AB10D9"/>
    <w:rsid w:val="00AB2B82"/>
    <w:rsid w:val="00AB41EE"/>
    <w:rsid w:val="00AB4805"/>
    <w:rsid w:val="00AB5947"/>
    <w:rsid w:val="00AC17E2"/>
    <w:rsid w:val="00AE1547"/>
    <w:rsid w:val="00AF49BF"/>
    <w:rsid w:val="00AF6322"/>
    <w:rsid w:val="00B049C2"/>
    <w:rsid w:val="00B10570"/>
    <w:rsid w:val="00B1176B"/>
    <w:rsid w:val="00B22254"/>
    <w:rsid w:val="00B22680"/>
    <w:rsid w:val="00B3014B"/>
    <w:rsid w:val="00B31984"/>
    <w:rsid w:val="00B339FF"/>
    <w:rsid w:val="00B35408"/>
    <w:rsid w:val="00B36E8C"/>
    <w:rsid w:val="00B3700A"/>
    <w:rsid w:val="00B4080F"/>
    <w:rsid w:val="00B44A30"/>
    <w:rsid w:val="00B52A1C"/>
    <w:rsid w:val="00B53071"/>
    <w:rsid w:val="00B57DFA"/>
    <w:rsid w:val="00B670E6"/>
    <w:rsid w:val="00B91EF2"/>
    <w:rsid w:val="00BB06DB"/>
    <w:rsid w:val="00BC1397"/>
    <w:rsid w:val="00BE2466"/>
    <w:rsid w:val="00BE3322"/>
    <w:rsid w:val="00BF17F3"/>
    <w:rsid w:val="00BF518F"/>
    <w:rsid w:val="00C03C84"/>
    <w:rsid w:val="00C108E3"/>
    <w:rsid w:val="00C10BAD"/>
    <w:rsid w:val="00C12B0E"/>
    <w:rsid w:val="00C13223"/>
    <w:rsid w:val="00C15843"/>
    <w:rsid w:val="00C3199B"/>
    <w:rsid w:val="00C32D66"/>
    <w:rsid w:val="00C44236"/>
    <w:rsid w:val="00C543B7"/>
    <w:rsid w:val="00C60E4E"/>
    <w:rsid w:val="00C6636D"/>
    <w:rsid w:val="00C70FB6"/>
    <w:rsid w:val="00C80A78"/>
    <w:rsid w:val="00C8657F"/>
    <w:rsid w:val="00C93A20"/>
    <w:rsid w:val="00C9702F"/>
    <w:rsid w:val="00CA57FC"/>
    <w:rsid w:val="00CC0724"/>
    <w:rsid w:val="00CE0A50"/>
    <w:rsid w:val="00CE5C1E"/>
    <w:rsid w:val="00CE7AE1"/>
    <w:rsid w:val="00CF4F80"/>
    <w:rsid w:val="00CF73C9"/>
    <w:rsid w:val="00D00CB9"/>
    <w:rsid w:val="00D04A06"/>
    <w:rsid w:val="00D0548E"/>
    <w:rsid w:val="00D11808"/>
    <w:rsid w:val="00D168FE"/>
    <w:rsid w:val="00D2008F"/>
    <w:rsid w:val="00D2129C"/>
    <w:rsid w:val="00D22DA8"/>
    <w:rsid w:val="00D22FC4"/>
    <w:rsid w:val="00D26D67"/>
    <w:rsid w:val="00D27059"/>
    <w:rsid w:val="00D305B2"/>
    <w:rsid w:val="00D3356F"/>
    <w:rsid w:val="00D33587"/>
    <w:rsid w:val="00D3368E"/>
    <w:rsid w:val="00D36B63"/>
    <w:rsid w:val="00D46F04"/>
    <w:rsid w:val="00D54AE0"/>
    <w:rsid w:val="00D54FC9"/>
    <w:rsid w:val="00D728CA"/>
    <w:rsid w:val="00D81B5C"/>
    <w:rsid w:val="00D825EA"/>
    <w:rsid w:val="00D90162"/>
    <w:rsid w:val="00D92C4D"/>
    <w:rsid w:val="00DC3A3B"/>
    <w:rsid w:val="00DC3F95"/>
    <w:rsid w:val="00DD2BEA"/>
    <w:rsid w:val="00DD3271"/>
    <w:rsid w:val="00DD6E30"/>
    <w:rsid w:val="00DF0363"/>
    <w:rsid w:val="00DF0966"/>
    <w:rsid w:val="00DF6FB3"/>
    <w:rsid w:val="00E114E2"/>
    <w:rsid w:val="00E13C93"/>
    <w:rsid w:val="00E21BA1"/>
    <w:rsid w:val="00E25CA3"/>
    <w:rsid w:val="00E3131D"/>
    <w:rsid w:val="00E5657A"/>
    <w:rsid w:val="00E62348"/>
    <w:rsid w:val="00E64A73"/>
    <w:rsid w:val="00E75335"/>
    <w:rsid w:val="00E821DD"/>
    <w:rsid w:val="00E8532D"/>
    <w:rsid w:val="00E94DF0"/>
    <w:rsid w:val="00E97EC2"/>
    <w:rsid w:val="00EA54ED"/>
    <w:rsid w:val="00EB1B06"/>
    <w:rsid w:val="00EC17CC"/>
    <w:rsid w:val="00EC69DA"/>
    <w:rsid w:val="00ED6F65"/>
    <w:rsid w:val="00EE062E"/>
    <w:rsid w:val="00EE4778"/>
    <w:rsid w:val="00EE71A2"/>
    <w:rsid w:val="00EF2396"/>
    <w:rsid w:val="00EF3885"/>
    <w:rsid w:val="00EF59E8"/>
    <w:rsid w:val="00EF603D"/>
    <w:rsid w:val="00F04164"/>
    <w:rsid w:val="00F04627"/>
    <w:rsid w:val="00F07AFF"/>
    <w:rsid w:val="00F10EA3"/>
    <w:rsid w:val="00F16D9B"/>
    <w:rsid w:val="00F25E3F"/>
    <w:rsid w:val="00F4032B"/>
    <w:rsid w:val="00F45EAD"/>
    <w:rsid w:val="00F47B4B"/>
    <w:rsid w:val="00F56FE6"/>
    <w:rsid w:val="00F619A3"/>
    <w:rsid w:val="00F620C3"/>
    <w:rsid w:val="00F67BE7"/>
    <w:rsid w:val="00F67C7C"/>
    <w:rsid w:val="00F731F7"/>
    <w:rsid w:val="00F74271"/>
    <w:rsid w:val="00F85618"/>
    <w:rsid w:val="00F86D7D"/>
    <w:rsid w:val="00FB719F"/>
    <w:rsid w:val="00FC37FE"/>
    <w:rsid w:val="00FC46EA"/>
    <w:rsid w:val="00FE6251"/>
    <w:rsid w:val="00FF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3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D92C4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8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52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E21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BF51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F518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BF51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F51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2761</Words>
  <Characters>15741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 Евгений Викторович</dc:creator>
  <cp:keywords/>
  <dc:description/>
  <cp:lastModifiedBy>Информ-аналит отдел</cp:lastModifiedBy>
  <cp:revision>3</cp:revision>
  <cp:lastPrinted>2016-05-11T13:45:00Z</cp:lastPrinted>
  <dcterms:created xsi:type="dcterms:W3CDTF">2016-09-13T08:19:00Z</dcterms:created>
  <dcterms:modified xsi:type="dcterms:W3CDTF">2016-09-13T13:08:00Z</dcterms:modified>
</cp:coreProperties>
</file>